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2A" w:rsidRPr="00FD43EE" w:rsidRDefault="001C792A" w:rsidP="001C792A">
      <w:pPr>
        <w:pStyle w:val="Heading1"/>
        <w:spacing w:before="0"/>
        <w:rPr>
          <w:color w:val="000000" w:themeColor="text1"/>
        </w:rPr>
      </w:pPr>
      <w:r>
        <w:rPr>
          <w:color w:val="000000" w:themeColor="text1"/>
        </w:rPr>
        <w:t>Effective Teaching/ Learning</w:t>
      </w:r>
      <w:r w:rsidRPr="00FD43EE">
        <w:rPr>
          <w:color w:val="000000" w:themeColor="text1"/>
        </w:rPr>
        <w:t xml:space="preserve"> Practice Profile</w:t>
      </w:r>
    </w:p>
    <w:p w:rsidR="001C792A" w:rsidRPr="00FD43EE" w:rsidRDefault="001C792A" w:rsidP="001C792A">
      <w:pPr>
        <w:rPr>
          <w:bCs/>
        </w:rPr>
      </w:pPr>
      <w:r w:rsidRPr="00FD43EE">
        <w:rPr>
          <w:bCs/>
          <w:iCs/>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FD43EE">
        <w:rPr>
          <w:bCs/>
          <w:iCs/>
        </w:rPr>
        <w:t>Hord’s</w:t>
      </w:r>
      <w:proofErr w:type="spellEnd"/>
      <w:r w:rsidRPr="00FD43EE">
        <w:rPr>
          <w:bCs/>
          <w:iCs/>
        </w:rPr>
        <w:t xml:space="preserve"> (2006) Innovation Configuration Mapping (NIRN, 2011).</w:t>
      </w:r>
    </w:p>
    <w:p w:rsidR="001C792A" w:rsidRPr="00FD43EE" w:rsidRDefault="001C792A" w:rsidP="001C792A">
      <w:pPr>
        <w:rPr>
          <w:bCs/>
          <w:iCs/>
        </w:rPr>
      </w:pPr>
      <w:r w:rsidRPr="00FD43EE">
        <w:rPr>
          <w:bCs/>
          <w:iCs/>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1C792A" w:rsidRPr="001C792A" w:rsidRDefault="001C792A" w:rsidP="001C792A">
      <w:pPr>
        <w:spacing w:after="0"/>
        <w:rPr>
          <w:rStyle w:val="Emphasis"/>
          <w:bCs w:val="0"/>
          <w:i w:val="0"/>
          <w:iCs w:val="0"/>
          <w:color w:val="000000" w:themeColor="text1"/>
        </w:rPr>
      </w:pPr>
      <w:r w:rsidRPr="001C792A">
        <w:rPr>
          <w:rStyle w:val="Emphasis"/>
          <w:i w:val="0"/>
          <w:color w:val="000000" w:themeColor="text1"/>
        </w:rPr>
        <w:t>How to Use the Practice Profile</w:t>
      </w:r>
    </w:p>
    <w:p w:rsidR="001C792A" w:rsidRDefault="001C792A" w:rsidP="001C792A">
      <w:pPr>
        <w:rPr>
          <w:bCs/>
          <w:iCs/>
        </w:rPr>
      </w:pPr>
      <w:r w:rsidRPr="00FD43EE">
        <w:rPr>
          <w:bCs/>
          <w:iCs/>
        </w:rPr>
        <w:t>The essential functions align with the teaching/ learn</w:t>
      </w:r>
      <w:bookmarkStart w:id="0" w:name="_GoBack"/>
      <w:bookmarkEnd w:id="0"/>
      <w:r w:rsidRPr="00FD43EE">
        <w:rPr>
          <w:bCs/>
          <w:iCs/>
        </w:rPr>
        <w:t>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rsidR="00EB3F97" w:rsidRDefault="00EB3F97" w:rsidP="001C792A">
      <w:pPr>
        <w:rPr>
          <w:bCs/>
          <w:iCs/>
        </w:rPr>
      </w:pPr>
    </w:p>
    <w:p w:rsidR="00EB3F97" w:rsidRDefault="00EB3F97" w:rsidP="00EB3F97">
      <w:pPr>
        <w:spacing w:line="240" w:lineRule="auto"/>
        <w:rPr>
          <w:bCs/>
          <w:iCs/>
        </w:rPr>
      </w:pPr>
    </w:p>
    <w:p w:rsidR="00EB3F97" w:rsidRPr="00FD43EE" w:rsidRDefault="00EB3F97" w:rsidP="001C792A">
      <w:pPr>
        <w:rPr>
          <w:bCs/>
          <w:iCs/>
        </w:rPr>
      </w:pPr>
    </w:p>
    <w:p w:rsidR="00EB3F97" w:rsidRDefault="00EB3F9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2"/>
        <w:gridCol w:w="1843"/>
        <w:gridCol w:w="2501"/>
        <w:gridCol w:w="2236"/>
        <w:gridCol w:w="2500"/>
        <w:gridCol w:w="2251"/>
        <w:gridCol w:w="1287"/>
      </w:tblGrid>
      <w:tr w:rsidR="0065301F" w:rsidRPr="0065301F" w:rsidTr="0065301F">
        <w:trPr>
          <w:tblHeader/>
        </w:trPr>
        <w:tc>
          <w:tcPr>
            <w:tcW w:w="0" w:type="auto"/>
            <w:gridSpan w:val="7"/>
          </w:tcPr>
          <w:p w:rsidR="001C792A" w:rsidRPr="0065301F" w:rsidRDefault="001C792A" w:rsidP="0065301F">
            <w:pPr>
              <w:spacing w:after="0" w:line="240" w:lineRule="auto"/>
              <w:jc w:val="center"/>
              <w:rPr>
                <w:rFonts w:asciiTheme="minorHAnsi" w:eastAsiaTheme="minorEastAsia" w:hAnsiTheme="minorHAnsi" w:cstheme="minorBidi"/>
                <w:b/>
                <w:sz w:val="20"/>
                <w:szCs w:val="20"/>
              </w:rPr>
            </w:pPr>
            <w:r w:rsidRPr="0065301F">
              <w:rPr>
                <w:rFonts w:asciiTheme="minorHAnsi" w:eastAsiaTheme="minorEastAsia" w:hAnsiTheme="minorHAnsi" w:cstheme="minorBidi"/>
                <w:b/>
                <w:sz w:val="20"/>
                <w:szCs w:val="20"/>
              </w:rPr>
              <w:lastRenderedPageBreak/>
              <w:t>Missouri Collaborative Work Practice Profile</w:t>
            </w:r>
          </w:p>
          <w:p w:rsidR="001C792A" w:rsidRPr="0065301F" w:rsidRDefault="001C792A" w:rsidP="0065301F">
            <w:pPr>
              <w:spacing w:after="0" w:line="240" w:lineRule="auto"/>
              <w:rPr>
                <w:rFonts w:asciiTheme="minorHAnsi" w:eastAsiaTheme="minorEastAsia" w:hAnsiTheme="minorHAnsi" w:cstheme="minorBidi"/>
                <w:b/>
                <w:sz w:val="20"/>
                <w:szCs w:val="20"/>
              </w:rPr>
            </w:pPr>
            <w:r w:rsidRPr="0065301F">
              <w:rPr>
                <w:rFonts w:asciiTheme="minorHAnsi" w:eastAsiaTheme="minorEastAsia" w:hAnsiTheme="minorHAnsi" w:cstheme="minorBidi"/>
                <w:b/>
                <w:sz w:val="20"/>
                <w:szCs w:val="20"/>
              </w:rPr>
              <w:t xml:space="preserve">Foundations present in the implementation of each essential function: </w:t>
            </w:r>
            <w:r w:rsidRPr="0065301F">
              <w:rPr>
                <w:rFonts w:asciiTheme="minorHAnsi" w:eastAsiaTheme="minorEastAsia" w:hAnsiTheme="minorHAnsi" w:cstheme="minorBidi"/>
                <w:i/>
                <w:sz w:val="20"/>
                <w:szCs w:val="20"/>
              </w:rPr>
              <w:t>Commitment to the success of all students and to improving the quality of instruction.</w:t>
            </w:r>
          </w:p>
        </w:tc>
      </w:tr>
      <w:tr w:rsidR="0065301F" w:rsidRPr="0065301F" w:rsidTr="0065301F">
        <w:trPr>
          <w:tblHeader/>
        </w:trPr>
        <w:tc>
          <w:tcPr>
            <w:tcW w:w="0" w:type="auto"/>
            <w:gridSpan w:val="7"/>
            <w:shd w:val="clear" w:color="auto" w:fill="DFD4BB"/>
          </w:tcPr>
          <w:p w:rsidR="001C792A" w:rsidRPr="0065301F" w:rsidRDefault="001C792A" w:rsidP="0065301F">
            <w:pPr>
              <w:spacing w:after="0" w:line="240" w:lineRule="auto"/>
              <w:jc w:val="center"/>
              <w:rPr>
                <w:rFonts w:asciiTheme="minorHAnsi" w:eastAsiaTheme="minorEastAsia" w:hAnsiTheme="minorHAnsi" w:cstheme="minorBidi"/>
                <w:b/>
                <w:spacing w:val="20"/>
                <w:sz w:val="20"/>
                <w:szCs w:val="20"/>
              </w:rPr>
            </w:pPr>
            <w:r w:rsidRPr="0065301F">
              <w:rPr>
                <w:rFonts w:asciiTheme="minorHAnsi" w:eastAsiaTheme="minorEastAsia" w:hAnsiTheme="minorHAnsi" w:cstheme="minorBidi"/>
                <w:b/>
                <w:spacing w:val="20"/>
                <w:sz w:val="20"/>
                <w:szCs w:val="20"/>
              </w:rPr>
              <w:t>Effective Teaching &amp; Learning Practices</w:t>
            </w:r>
          </w:p>
        </w:tc>
      </w:tr>
      <w:tr w:rsidR="0065301F" w:rsidRPr="0065301F" w:rsidTr="007E7F6C">
        <w:trPr>
          <w:tblHeader/>
        </w:trPr>
        <w:tc>
          <w:tcPr>
            <w:tcW w:w="2185" w:type="dxa"/>
            <w:gridSpan w:val="2"/>
            <w:vAlign w:val="center"/>
          </w:tcPr>
          <w:p w:rsidR="001C792A" w:rsidRPr="0065301F" w:rsidRDefault="001C792A" w:rsidP="0065301F">
            <w:pPr>
              <w:spacing w:after="0" w:line="240" w:lineRule="auto"/>
              <w:jc w:val="center"/>
              <w:rPr>
                <w:rFonts w:asciiTheme="minorHAnsi" w:eastAsiaTheme="minorEastAsia" w:hAnsiTheme="minorHAnsi" w:cstheme="minorBidi"/>
                <w:b/>
                <w:sz w:val="20"/>
                <w:szCs w:val="20"/>
              </w:rPr>
            </w:pPr>
            <w:r w:rsidRPr="0065301F">
              <w:rPr>
                <w:rFonts w:asciiTheme="minorHAnsi" w:eastAsiaTheme="minorEastAsia" w:hAnsiTheme="minorHAnsi" w:cstheme="minorBidi"/>
                <w:b/>
                <w:sz w:val="20"/>
                <w:szCs w:val="20"/>
              </w:rPr>
              <w:t>Essential Functions</w:t>
            </w:r>
          </w:p>
        </w:tc>
        <w:tc>
          <w:tcPr>
            <w:tcW w:w="2520" w:type="dxa"/>
            <w:shd w:val="clear" w:color="auto" w:fill="auto"/>
            <w:vAlign w:val="center"/>
          </w:tcPr>
          <w:p w:rsidR="001C792A" w:rsidRPr="0065301F" w:rsidRDefault="001C792A" w:rsidP="0065301F">
            <w:pPr>
              <w:spacing w:after="0" w:line="240" w:lineRule="auto"/>
              <w:jc w:val="center"/>
              <w:rPr>
                <w:rFonts w:asciiTheme="minorHAnsi" w:eastAsiaTheme="minorEastAsia" w:hAnsiTheme="minorHAnsi" w:cstheme="minorBidi"/>
                <w:b/>
                <w:sz w:val="20"/>
                <w:szCs w:val="20"/>
              </w:rPr>
            </w:pPr>
            <w:r w:rsidRPr="0065301F">
              <w:rPr>
                <w:rFonts w:asciiTheme="minorHAnsi" w:eastAsiaTheme="minorEastAsia" w:hAnsiTheme="minorHAnsi" w:cstheme="minorBidi"/>
                <w:b/>
                <w:sz w:val="20"/>
                <w:szCs w:val="20"/>
              </w:rPr>
              <w:t>Exemplary</w:t>
            </w:r>
          </w:p>
          <w:p w:rsidR="001C792A" w:rsidRPr="0065301F" w:rsidRDefault="001C792A" w:rsidP="0065301F">
            <w:pPr>
              <w:spacing w:after="0" w:line="240" w:lineRule="auto"/>
              <w:jc w:val="center"/>
              <w:rPr>
                <w:rFonts w:asciiTheme="minorHAnsi" w:eastAsiaTheme="minorEastAsia" w:hAnsiTheme="minorHAnsi" w:cstheme="minorBidi"/>
                <w:b/>
                <w:sz w:val="20"/>
                <w:szCs w:val="20"/>
              </w:rPr>
            </w:pPr>
            <w:r w:rsidRPr="0065301F">
              <w:rPr>
                <w:rFonts w:asciiTheme="minorHAnsi" w:eastAsiaTheme="minorEastAsia" w:hAnsiTheme="minorHAnsi" w:cstheme="minorBidi"/>
                <w:b/>
                <w:sz w:val="20"/>
                <w:szCs w:val="20"/>
              </w:rPr>
              <w:t>Ideal Implementation</w:t>
            </w:r>
          </w:p>
          <w:p w:rsidR="001C792A" w:rsidRPr="0065301F" w:rsidRDefault="001C792A" w:rsidP="0065301F">
            <w:pPr>
              <w:spacing w:after="0" w:line="240" w:lineRule="auto"/>
              <w:jc w:val="center"/>
              <w:rPr>
                <w:rFonts w:asciiTheme="minorHAnsi" w:eastAsiaTheme="minorEastAsia" w:hAnsiTheme="minorHAnsi" w:cstheme="minorBidi"/>
                <w:b/>
                <w:sz w:val="20"/>
                <w:szCs w:val="20"/>
              </w:rPr>
            </w:pPr>
          </w:p>
        </w:tc>
        <w:tc>
          <w:tcPr>
            <w:tcW w:w="2250" w:type="dxa"/>
            <w:vAlign w:val="center"/>
          </w:tcPr>
          <w:p w:rsidR="001C792A" w:rsidRPr="0065301F" w:rsidRDefault="001C792A" w:rsidP="0065301F">
            <w:pPr>
              <w:spacing w:after="0" w:line="240" w:lineRule="auto"/>
              <w:jc w:val="center"/>
              <w:rPr>
                <w:rFonts w:asciiTheme="minorHAnsi" w:eastAsiaTheme="minorEastAsia" w:hAnsiTheme="minorHAnsi" w:cstheme="minorBidi"/>
                <w:b/>
                <w:sz w:val="20"/>
                <w:szCs w:val="20"/>
              </w:rPr>
            </w:pPr>
            <w:r w:rsidRPr="0065301F">
              <w:rPr>
                <w:rFonts w:asciiTheme="minorHAnsi" w:eastAsiaTheme="minorEastAsia" w:hAnsiTheme="minorHAnsi" w:cstheme="minorBidi"/>
                <w:b/>
                <w:sz w:val="20"/>
                <w:szCs w:val="20"/>
              </w:rPr>
              <w:t>Proficient</w:t>
            </w:r>
          </w:p>
        </w:tc>
        <w:tc>
          <w:tcPr>
            <w:tcW w:w="2520" w:type="dxa"/>
            <w:shd w:val="clear" w:color="auto" w:fill="auto"/>
            <w:vAlign w:val="center"/>
          </w:tcPr>
          <w:p w:rsidR="001C792A" w:rsidRPr="0065301F" w:rsidRDefault="001C792A" w:rsidP="0065301F">
            <w:pPr>
              <w:spacing w:after="0" w:line="240" w:lineRule="auto"/>
              <w:jc w:val="center"/>
              <w:rPr>
                <w:rFonts w:asciiTheme="minorHAnsi" w:eastAsiaTheme="minorEastAsia" w:hAnsiTheme="minorHAnsi" w:cstheme="minorBidi"/>
                <w:b/>
                <w:sz w:val="20"/>
                <w:szCs w:val="20"/>
              </w:rPr>
            </w:pPr>
            <w:r w:rsidRPr="0065301F">
              <w:rPr>
                <w:rFonts w:asciiTheme="minorHAnsi" w:eastAsiaTheme="minorEastAsia" w:hAnsiTheme="minorHAnsi" w:cstheme="minorBidi"/>
                <w:b/>
                <w:sz w:val="20"/>
                <w:szCs w:val="20"/>
              </w:rPr>
              <w:t>Close to Proficient</w:t>
            </w:r>
          </w:p>
          <w:p w:rsidR="001C792A" w:rsidRPr="0065301F" w:rsidRDefault="001C792A" w:rsidP="0065301F">
            <w:pPr>
              <w:spacing w:after="0" w:line="240" w:lineRule="auto"/>
              <w:jc w:val="center"/>
              <w:rPr>
                <w:rFonts w:asciiTheme="minorHAnsi" w:eastAsiaTheme="minorEastAsia" w:hAnsiTheme="minorHAnsi" w:cstheme="minorBidi"/>
                <w:i/>
                <w:sz w:val="20"/>
                <w:szCs w:val="20"/>
              </w:rPr>
            </w:pPr>
            <w:r w:rsidRPr="0065301F">
              <w:rPr>
                <w:rFonts w:asciiTheme="minorHAnsi" w:eastAsiaTheme="minorEastAsia" w:hAnsiTheme="minorHAnsi" w:cstheme="minorBidi"/>
                <w:i/>
                <w:sz w:val="20"/>
                <w:szCs w:val="20"/>
              </w:rPr>
              <w:t>(Skill is emerging, but not yet to ideal proficiency.  Coaching is recommended.)</w:t>
            </w:r>
          </w:p>
        </w:tc>
        <w:tc>
          <w:tcPr>
            <w:tcW w:w="2266" w:type="dxa"/>
            <w:shd w:val="clear" w:color="auto" w:fill="auto"/>
            <w:vAlign w:val="center"/>
          </w:tcPr>
          <w:p w:rsidR="001C792A" w:rsidRPr="0065301F" w:rsidRDefault="006B2BE5" w:rsidP="0065301F">
            <w:pPr>
              <w:spacing w:after="0" w:line="240"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Far from Proficient</w:t>
            </w:r>
            <w:r w:rsidRPr="0065301F">
              <w:rPr>
                <w:rFonts w:asciiTheme="minorHAnsi" w:eastAsiaTheme="minorEastAsia" w:hAnsiTheme="minorHAnsi" w:cstheme="minorBidi"/>
                <w:i/>
                <w:sz w:val="20"/>
                <w:szCs w:val="20"/>
              </w:rPr>
              <w:t xml:space="preserve"> </w:t>
            </w:r>
            <w:r w:rsidR="001C792A" w:rsidRPr="0065301F">
              <w:rPr>
                <w:rFonts w:asciiTheme="minorHAnsi" w:eastAsiaTheme="minorEastAsia" w:hAnsiTheme="minorHAnsi" w:cstheme="minorBidi"/>
                <w:i/>
                <w:sz w:val="20"/>
                <w:szCs w:val="20"/>
              </w:rPr>
              <w:t>(Follow-up professional development and coaching is critical.)</w:t>
            </w:r>
          </w:p>
        </w:tc>
        <w:tc>
          <w:tcPr>
            <w:tcW w:w="0" w:type="auto"/>
            <w:shd w:val="clear" w:color="auto" w:fill="D9D9D9" w:themeFill="background1" w:themeFillShade="D9"/>
            <w:vAlign w:val="center"/>
          </w:tcPr>
          <w:p w:rsidR="001C792A" w:rsidRPr="0065301F" w:rsidRDefault="001C792A" w:rsidP="0065301F">
            <w:pPr>
              <w:spacing w:after="0" w:line="240" w:lineRule="auto"/>
              <w:jc w:val="center"/>
              <w:rPr>
                <w:rFonts w:asciiTheme="minorHAnsi" w:eastAsiaTheme="minorEastAsia" w:hAnsiTheme="minorHAnsi" w:cstheme="minorBidi"/>
                <w:b/>
                <w:sz w:val="20"/>
                <w:szCs w:val="20"/>
              </w:rPr>
            </w:pPr>
            <w:r w:rsidRPr="0065301F">
              <w:rPr>
                <w:rFonts w:asciiTheme="minorHAnsi" w:eastAsiaTheme="minorEastAsia" w:hAnsiTheme="minorHAnsi" w:cstheme="minorBidi"/>
                <w:b/>
                <w:sz w:val="20"/>
                <w:szCs w:val="20"/>
              </w:rPr>
              <w:t>Evidence</w:t>
            </w:r>
          </w:p>
        </w:tc>
      </w:tr>
      <w:tr w:rsidR="0065301F" w:rsidRPr="0065301F" w:rsidTr="007E7F6C">
        <w:trPr>
          <w:trHeight w:val="611"/>
        </w:trPr>
        <w:tc>
          <w:tcPr>
            <w:tcW w:w="0" w:type="auto"/>
            <w:vAlign w:val="center"/>
          </w:tcPr>
          <w:p w:rsidR="001C792A" w:rsidRPr="0065301F" w:rsidRDefault="001C792A" w:rsidP="0065301F">
            <w:pPr>
              <w:spacing w:after="0" w:line="240" w:lineRule="auto"/>
              <w:jc w:val="center"/>
              <w:rPr>
                <w:rFonts w:asciiTheme="minorHAnsi" w:eastAsiaTheme="minorEastAsia" w:hAnsiTheme="minorHAnsi" w:cs="Arial"/>
                <w:sz w:val="20"/>
                <w:szCs w:val="20"/>
              </w:rPr>
            </w:pPr>
            <w:r w:rsidRPr="0065301F">
              <w:rPr>
                <w:rFonts w:asciiTheme="minorHAnsi" w:eastAsiaTheme="minorEastAsia" w:hAnsiTheme="minorHAnsi" w:cs="Arial"/>
                <w:sz w:val="20"/>
                <w:szCs w:val="20"/>
              </w:rPr>
              <w:t>1</w:t>
            </w:r>
          </w:p>
        </w:tc>
        <w:tc>
          <w:tcPr>
            <w:tcW w:w="1853" w:type="dxa"/>
            <w:vAlign w:val="center"/>
          </w:tcPr>
          <w:p w:rsidR="001C792A" w:rsidRPr="0065301F" w:rsidRDefault="001C792A" w:rsidP="0065301F">
            <w:pPr>
              <w:spacing w:after="0" w:line="240" w:lineRule="auto"/>
              <w:rPr>
                <w:rFonts w:asciiTheme="minorHAnsi" w:eastAsiaTheme="minorEastAsia" w:hAnsiTheme="minorHAnsi" w:cs="Arial"/>
                <w:sz w:val="20"/>
                <w:szCs w:val="20"/>
              </w:rPr>
            </w:pPr>
            <w:r w:rsidRPr="0065301F">
              <w:rPr>
                <w:rFonts w:asciiTheme="minorHAnsi" w:eastAsiaTheme="minorEastAsia" w:hAnsiTheme="minorHAnsi" w:cstheme="minorBidi"/>
                <w:sz w:val="20"/>
                <w:szCs w:val="20"/>
              </w:rPr>
              <w:t>Educators maintain an effective instructional environment.</w:t>
            </w:r>
          </w:p>
        </w:tc>
        <w:tc>
          <w:tcPr>
            <w:tcW w:w="2520" w:type="dxa"/>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 xml:space="preserve">Establish and teach clearly articulated academic and behavioral classroom rules and procedures; </w:t>
            </w:r>
            <w:r w:rsidRPr="0065301F">
              <w:rPr>
                <w:rFonts w:asciiTheme="minorHAnsi" w:eastAsiaTheme="minorEastAsia" w:hAnsiTheme="minorHAnsi" w:cs="Garamond"/>
                <w:color w:val="000000"/>
                <w:sz w:val="20"/>
                <w:szCs w:val="20"/>
                <w:u w:val="single"/>
              </w:rPr>
              <w:t>implement</w:t>
            </w:r>
            <w:r w:rsidRPr="0065301F">
              <w:rPr>
                <w:rFonts w:asciiTheme="minorHAnsi" w:eastAsiaTheme="minorEastAsia" w:hAnsiTheme="minorHAnsi" w:cs="Garamond"/>
                <w:color w:val="000000"/>
                <w:sz w:val="20"/>
                <w:szCs w:val="20"/>
              </w:rPr>
              <w:t xml:space="preserve"> </w:t>
            </w:r>
            <w:r w:rsidRPr="0065301F">
              <w:rPr>
                <w:rFonts w:asciiTheme="minorHAnsi" w:eastAsiaTheme="minorEastAsia" w:hAnsiTheme="minorHAnsi" w:cs="Garamond"/>
                <w:color w:val="000000"/>
                <w:sz w:val="20"/>
                <w:szCs w:val="20"/>
                <w:u w:val="single"/>
              </w:rPr>
              <w:t>consistently</w:t>
            </w:r>
            <w:r w:rsidRPr="0065301F">
              <w:rPr>
                <w:rFonts w:asciiTheme="minorHAnsi" w:eastAsiaTheme="minorEastAsia" w:hAnsiTheme="minorHAnsi" w:cs="Garamond"/>
                <w:color w:val="000000"/>
                <w:sz w:val="20"/>
                <w:szCs w:val="20"/>
              </w:rPr>
              <w:t xml:space="preserve">, and </w:t>
            </w:r>
            <w:r w:rsidRPr="0065301F">
              <w:rPr>
                <w:rFonts w:asciiTheme="minorHAnsi" w:eastAsiaTheme="minorEastAsia" w:hAnsiTheme="minorHAnsi" w:cs="Garamond"/>
                <w:color w:val="000000"/>
                <w:sz w:val="20"/>
                <w:szCs w:val="20"/>
                <w:u w:val="single"/>
              </w:rPr>
              <w:t xml:space="preserve">demonstrate </w:t>
            </w:r>
            <w:r w:rsidRPr="0065301F">
              <w:rPr>
                <w:rFonts w:asciiTheme="minorHAnsi" w:eastAsiaTheme="minorEastAsia" w:hAnsiTheme="minorHAnsi" w:cs="Garamond"/>
                <w:color w:val="000000"/>
                <w:sz w:val="20"/>
                <w:szCs w:val="20"/>
              </w:rPr>
              <w:t>methods to assure all students understand how and when to use them.</w:t>
            </w:r>
          </w:p>
        </w:tc>
        <w:tc>
          <w:tcPr>
            <w:tcW w:w="2250" w:type="dxa"/>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 xml:space="preserve">Establish and teach clearly articulated academic and behavioral classroom rules and procedures; </w:t>
            </w:r>
            <w:r w:rsidRPr="0065301F">
              <w:rPr>
                <w:rFonts w:asciiTheme="minorHAnsi" w:eastAsiaTheme="minorEastAsia" w:hAnsiTheme="minorHAnsi" w:cs="Garamond"/>
                <w:color w:val="000000"/>
                <w:sz w:val="20"/>
                <w:szCs w:val="20"/>
                <w:u w:val="single"/>
              </w:rPr>
              <w:t>implement consistently</w:t>
            </w:r>
            <w:r w:rsidRPr="0065301F">
              <w:rPr>
                <w:rFonts w:asciiTheme="minorHAnsi" w:eastAsiaTheme="minorEastAsia" w:hAnsiTheme="minorHAnsi" w:cs="Garamond"/>
                <w:color w:val="000000"/>
                <w:sz w:val="20"/>
                <w:szCs w:val="20"/>
              </w:rPr>
              <w:t xml:space="preserve">, and can </w:t>
            </w:r>
            <w:r w:rsidRPr="0065301F">
              <w:rPr>
                <w:rFonts w:asciiTheme="minorHAnsi" w:eastAsiaTheme="minorEastAsia" w:hAnsiTheme="minorHAnsi" w:cs="Garamond"/>
                <w:color w:val="000000"/>
                <w:sz w:val="20"/>
                <w:szCs w:val="20"/>
                <w:u w:val="single"/>
              </w:rPr>
              <w:t>describe</w:t>
            </w:r>
            <w:r w:rsidRPr="0065301F">
              <w:rPr>
                <w:rFonts w:asciiTheme="minorHAnsi" w:eastAsiaTheme="minorEastAsia" w:hAnsiTheme="minorHAnsi" w:cs="Garamond"/>
                <w:color w:val="000000"/>
                <w:sz w:val="20"/>
                <w:szCs w:val="20"/>
              </w:rPr>
              <w:t xml:space="preserve"> methods of assuring all students understand how and when to use them.</w:t>
            </w:r>
          </w:p>
        </w:tc>
        <w:tc>
          <w:tcPr>
            <w:tcW w:w="2520" w:type="dxa"/>
            <w:shd w:val="clear" w:color="auto" w:fill="auto"/>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 xml:space="preserve">Establish and teach clearly articulated academic and behavioral classroom rules and procedures; </w:t>
            </w:r>
            <w:r w:rsidRPr="0065301F">
              <w:rPr>
                <w:rFonts w:asciiTheme="minorHAnsi" w:eastAsiaTheme="minorEastAsia" w:hAnsiTheme="minorHAnsi" w:cs="Garamond"/>
                <w:color w:val="000000"/>
                <w:sz w:val="20"/>
                <w:szCs w:val="20"/>
                <w:u w:val="single"/>
              </w:rPr>
              <w:t>implement them at beginning of year</w:t>
            </w:r>
            <w:r w:rsidRPr="0065301F">
              <w:rPr>
                <w:rFonts w:asciiTheme="minorHAnsi" w:eastAsiaTheme="minorEastAsia" w:hAnsiTheme="minorHAnsi" w:cs="Garamond"/>
                <w:color w:val="000000"/>
                <w:sz w:val="20"/>
                <w:szCs w:val="20"/>
              </w:rPr>
              <w:t xml:space="preserve">, and can </w:t>
            </w:r>
            <w:r w:rsidRPr="0065301F">
              <w:rPr>
                <w:rFonts w:asciiTheme="minorHAnsi" w:eastAsiaTheme="minorEastAsia" w:hAnsiTheme="minorHAnsi" w:cs="Garamond"/>
                <w:color w:val="000000"/>
                <w:sz w:val="20"/>
                <w:szCs w:val="20"/>
                <w:u w:val="single"/>
              </w:rPr>
              <w:t>describe</w:t>
            </w:r>
            <w:r w:rsidRPr="0065301F">
              <w:rPr>
                <w:rFonts w:asciiTheme="minorHAnsi" w:eastAsiaTheme="minorEastAsia" w:hAnsiTheme="minorHAnsi" w:cs="Garamond"/>
                <w:color w:val="000000"/>
                <w:sz w:val="20"/>
                <w:szCs w:val="20"/>
              </w:rPr>
              <w:t xml:space="preserve"> methods of assuring all students understand how and when to use them.</w:t>
            </w:r>
          </w:p>
        </w:tc>
        <w:tc>
          <w:tcPr>
            <w:tcW w:w="2266" w:type="dxa"/>
            <w:shd w:val="clear" w:color="auto" w:fill="auto"/>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 xml:space="preserve">Academic and behavioral classroom rules and procedures are </w:t>
            </w:r>
            <w:r w:rsidRPr="0065301F">
              <w:rPr>
                <w:rFonts w:asciiTheme="minorHAnsi" w:eastAsiaTheme="minorEastAsia" w:hAnsiTheme="minorHAnsi" w:cs="Garamond"/>
                <w:color w:val="000000"/>
                <w:sz w:val="20"/>
                <w:szCs w:val="20"/>
                <w:u w:val="single"/>
              </w:rPr>
              <w:t>not established</w:t>
            </w:r>
            <w:r w:rsidRPr="0065301F">
              <w:rPr>
                <w:rFonts w:asciiTheme="minorHAnsi" w:eastAsiaTheme="minorEastAsia" w:hAnsiTheme="minorHAnsi" w:cs="Garamond"/>
                <w:color w:val="000000"/>
                <w:sz w:val="20"/>
                <w:szCs w:val="20"/>
              </w:rPr>
              <w:t xml:space="preserve"> or are established but </w:t>
            </w:r>
            <w:r w:rsidRPr="0065301F">
              <w:rPr>
                <w:rFonts w:asciiTheme="minorHAnsi" w:eastAsiaTheme="minorEastAsia" w:hAnsiTheme="minorHAnsi" w:cs="Garamond"/>
                <w:color w:val="000000"/>
                <w:sz w:val="20"/>
                <w:szCs w:val="20"/>
                <w:u w:val="single"/>
              </w:rPr>
              <w:t>not taught.</w:t>
            </w:r>
          </w:p>
        </w:tc>
        <w:tc>
          <w:tcPr>
            <w:tcW w:w="0" w:type="auto"/>
            <w:shd w:val="clear" w:color="auto" w:fill="D9D9D9" w:themeFill="background1" w:themeFillShade="D9"/>
          </w:tcPr>
          <w:p w:rsidR="001C792A" w:rsidRDefault="007E7F6C" w:rsidP="0065301F">
            <w:pPr>
              <w:spacing w:after="0" w:line="240" w:lineRule="auto"/>
              <w:rPr>
                <w:rFonts w:asciiTheme="minorHAnsi" w:eastAsiaTheme="minorEastAsia" w:hAnsiTheme="minorHAnsi" w:cs="Garamond"/>
                <w:color w:val="000000"/>
                <w:sz w:val="20"/>
                <w:szCs w:val="20"/>
              </w:rPr>
            </w:pPr>
            <w:r>
              <w:rPr>
                <w:rFonts w:asciiTheme="minorHAnsi" w:eastAsiaTheme="minorEastAsia" w:hAnsiTheme="minorHAnsi" w:cs="Garamond"/>
                <w:color w:val="000000"/>
                <w:sz w:val="20"/>
                <w:szCs w:val="20"/>
              </w:rPr>
              <w:t>Academic and behavior instruction artifacts</w:t>
            </w:r>
          </w:p>
          <w:p w:rsidR="007E7F6C" w:rsidRDefault="007E7F6C" w:rsidP="0065301F">
            <w:pPr>
              <w:spacing w:after="0" w:line="240" w:lineRule="auto"/>
              <w:rPr>
                <w:rFonts w:asciiTheme="minorHAnsi" w:eastAsiaTheme="minorEastAsia" w:hAnsiTheme="minorHAnsi" w:cs="Garamond"/>
                <w:color w:val="000000"/>
                <w:sz w:val="20"/>
                <w:szCs w:val="20"/>
              </w:rPr>
            </w:pPr>
          </w:p>
          <w:p w:rsidR="007E7F6C" w:rsidRDefault="007E7F6C" w:rsidP="0065301F">
            <w:pPr>
              <w:spacing w:after="0" w:line="240" w:lineRule="auto"/>
              <w:rPr>
                <w:rFonts w:asciiTheme="minorHAnsi" w:eastAsiaTheme="minorEastAsia" w:hAnsiTheme="minorHAnsi" w:cs="Garamond"/>
                <w:color w:val="000000"/>
                <w:sz w:val="20"/>
                <w:szCs w:val="20"/>
              </w:rPr>
            </w:pPr>
            <w:r>
              <w:rPr>
                <w:rFonts w:asciiTheme="minorHAnsi" w:eastAsiaTheme="minorEastAsia" w:hAnsiTheme="minorHAnsi" w:cs="Garamond"/>
                <w:color w:val="000000"/>
                <w:sz w:val="20"/>
                <w:szCs w:val="20"/>
              </w:rPr>
              <w:t>Lesson plans of rules taught</w:t>
            </w:r>
          </w:p>
          <w:p w:rsidR="007E7F6C" w:rsidRDefault="007E7F6C" w:rsidP="0065301F">
            <w:pPr>
              <w:spacing w:after="0" w:line="240" w:lineRule="auto"/>
              <w:rPr>
                <w:rFonts w:asciiTheme="minorHAnsi" w:eastAsiaTheme="minorEastAsia" w:hAnsiTheme="minorHAnsi" w:cs="Garamond"/>
                <w:color w:val="000000"/>
                <w:sz w:val="20"/>
                <w:szCs w:val="20"/>
              </w:rPr>
            </w:pPr>
          </w:p>
          <w:p w:rsidR="007E7F6C" w:rsidRPr="0065301F" w:rsidRDefault="007E7F6C" w:rsidP="0065301F">
            <w:pPr>
              <w:spacing w:after="0" w:line="240" w:lineRule="auto"/>
              <w:rPr>
                <w:rFonts w:asciiTheme="minorHAnsi" w:eastAsiaTheme="minorEastAsia" w:hAnsiTheme="minorHAnsi" w:cs="Garamond"/>
                <w:color w:val="000000"/>
                <w:sz w:val="20"/>
                <w:szCs w:val="20"/>
              </w:rPr>
            </w:pPr>
            <w:r>
              <w:rPr>
                <w:rFonts w:asciiTheme="minorHAnsi" w:eastAsiaTheme="minorEastAsia" w:hAnsiTheme="minorHAnsi" w:cs="Garamond"/>
                <w:color w:val="000000"/>
                <w:sz w:val="20"/>
                <w:szCs w:val="20"/>
              </w:rPr>
              <w:t>Student data</w:t>
            </w:r>
          </w:p>
        </w:tc>
      </w:tr>
      <w:tr w:rsidR="0065301F" w:rsidRPr="0065301F" w:rsidTr="007E7F6C">
        <w:trPr>
          <w:trHeight w:val="2672"/>
        </w:trPr>
        <w:tc>
          <w:tcPr>
            <w:tcW w:w="0" w:type="auto"/>
            <w:vAlign w:val="center"/>
          </w:tcPr>
          <w:p w:rsidR="001C792A" w:rsidRPr="0065301F" w:rsidRDefault="001C792A" w:rsidP="0065301F">
            <w:pPr>
              <w:spacing w:after="0" w:line="240" w:lineRule="auto"/>
              <w:jc w:val="center"/>
              <w:rPr>
                <w:rFonts w:asciiTheme="minorHAnsi" w:eastAsiaTheme="minorEastAsia" w:hAnsiTheme="minorHAnsi" w:cs="Arial"/>
                <w:sz w:val="20"/>
                <w:szCs w:val="20"/>
              </w:rPr>
            </w:pPr>
            <w:r w:rsidRPr="0065301F">
              <w:rPr>
                <w:rFonts w:asciiTheme="minorHAnsi" w:eastAsiaTheme="minorEastAsia" w:hAnsiTheme="minorHAnsi" w:cs="Arial"/>
                <w:sz w:val="20"/>
                <w:szCs w:val="20"/>
              </w:rPr>
              <w:t>2</w:t>
            </w:r>
          </w:p>
        </w:tc>
        <w:tc>
          <w:tcPr>
            <w:tcW w:w="1853" w:type="dxa"/>
            <w:vAlign w:val="center"/>
          </w:tcPr>
          <w:p w:rsidR="001C792A" w:rsidRPr="0065301F" w:rsidRDefault="001C792A" w:rsidP="0065301F">
            <w:pPr>
              <w:spacing w:after="0" w:line="240" w:lineRule="auto"/>
              <w:rPr>
                <w:rFonts w:asciiTheme="minorHAnsi" w:eastAsiaTheme="minorEastAsia" w:hAnsiTheme="minorHAnsi" w:cs="Arial"/>
                <w:sz w:val="20"/>
                <w:szCs w:val="20"/>
              </w:rPr>
            </w:pPr>
            <w:r w:rsidRPr="0065301F">
              <w:rPr>
                <w:rFonts w:asciiTheme="minorHAnsi" w:eastAsiaTheme="minorEastAsia" w:hAnsiTheme="minorHAnsi" w:cstheme="minorBidi"/>
                <w:sz w:val="20"/>
                <w:szCs w:val="20"/>
              </w:rPr>
              <w:t>Educators implement appropriate effective instructional practices.</w:t>
            </w:r>
          </w:p>
        </w:tc>
        <w:tc>
          <w:tcPr>
            <w:tcW w:w="2520" w:type="dxa"/>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Select and implement evidence-based effective methods that are not content related, implement with fidelity and inform decisions of progress through regularly scheduled formative assessments selected by appropriate teams.</w:t>
            </w:r>
          </w:p>
        </w:tc>
        <w:tc>
          <w:tcPr>
            <w:tcW w:w="2250" w:type="dxa"/>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Select and implement evidence-based effective methods that are not content related, implement with fidelity and inform decisions of progress through assessment methods selected by the instructor.</w:t>
            </w:r>
          </w:p>
        </w:tc>
        <w:tc>
          <w:tcPr>
            <w:tcW w:w="2520" w:type="dxa"/>
            <w:shd w:val="clear" w:color="auto" w:fill="auto"/>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Select and implement evidence-based effective methods that are not content related, state are implemented with fidelity,  and inform decisions of progress through assessment methods selected by the instructor</w:t>
            </w:r>
          </w:p>
        </w:tc>
        <w:tc>
          <w:tcPr>
            <w:tcW w:w="2266" w:type="dxa"/>
            <w:shd w:val="clear" w:color="auto" w:fill="auto"/>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Select and implement evidence-based effective methods that may or may  not be content related, state are implemented with fidelity and inform decisions of progress through assessment methods selected by the instructor</w:t>
            </w:r>
          </w:p>
        </w:tc>
        <w:tc>
          <w:tcPr>
            <w:tcW w:w="0" w:type="auto"/>
            <w:shd w:val="clear" w:color="auto" w:fill="D9D9D9" w:themeFill="background1" w:themeFillShade="D9"/>
          </w:tcPr>
          <w:p w:rsidR="001C792A" w:rsidRDefault="007E7F6C" w:rsidP="0065301F">
            <w:pPr>
              <w:spacing w:after="0" w:line="240" w:lineRule="auto"/>
              <w:rPr>
                <w:rFonts w:asciiTheme="minorHAnsi" w:eastAsiaTheme="minorEastAsia" w:hAnsiTheme="minorHAnsi" w:cs="Garamond"/>
                <w:color w:val="000000"/>
                <w:sz w:val="20"/>
                <w:szCs w:val="20"/>
              </w:rPr>
            </w:pPr>
            <w:r>
              <w:rPr>
                <w:rFonts w:asciiTheme="minorHAnsi" w:eastAsiaTheme="minorEastAsia" w:hAnsiTheme="minorHAnsi" w:cs="Garamond"/>
                <w:color w:val="000000"/>
                <w:sz w:val="20"/>
                <w:szCs w:val="20"/>
              </w:rPr>
              <w:t>See evidence of data-based decision-making</w:t>
            </w:r>
          </w:p>
          <w:p w:rsidR="007E7F6C" w:rsidRDefault="007E7F6C" w:rsidP="0065301F">
            <w:pPr>
              <w:spacing w:after="0" w:line="240" w:lineRule="auto"/>
              <w:rPr>
                <w:rFonts w:asciiTheme="minorHAnsi" w:eastAsiaTheme="minorEastAsia" w:hAnsiTheme="minorHAnsi" w:cs="Garamond"/>
                <w:color w:val="000000"/>
                <w:sz w:val="20"/>
                <w:szCs w:val="20"/>
              </w:rPr>
            </w:pPr>
          </w:p>
          <w:p w:rsidR="007E7F6C" w:rsidRDefault="007E7F6C" w:rsidP="0065301F">
            <w:pPr>
              <w:spacing w:after="0" w:line="240" w:lineRule="auto"/>
              <w:rPr>
                <w:rFonts w:asciiTheme="minorHAnsi" w:eastAsiaTheme="minorEastAsia" w:hAnsiTheme="minorHAnsi" w:cs="Garamond"/>
                <w:color w:val="000000"/>
                <w:sz w:val="20"/>
                <w:szCs w:val="20"/>
              </w:rPr>
            </w:pPr>
            <w:r>
              <w:rPr>
                <w:rFonts w:asciiTheme="minorHAnsi" w:eastAsiaTheme="minorEastAsia" w:hAnsiTheme="minorHAnsi" w:cs="Garamond"/>
                <w:color w:val="000000"/>
                <w:sz w:val="20"/>
                <w:szCs w:val="20"/>
              </w:rPr>
              <w:t>Student data</w:t>
            </w:r>
          </w:p>
          <w:p w:rsidR="007E7F6C" w:rsidRDefault="007E7F6C" w:rsidP="0065301F">
            <w:pPr>
              <w:spacing w:after="0" w:line="240" w:lineRule="auto"/>
              <w:rPr>
                <w:rFonts w:asciiTheme="minorHAnsi" w:eastAsiaTheme="minorEastAsia" w:hAnsiTheme="minorHAnsi" w:cs="Garamond"/>
                <w:color w:val="000000"/>
                <w:sz w:val="20"/>
                <w:szCs w:val="20"/>
              </w:rPr>
            </w:pPr>
          </w:p>
          <w:p w:rsidR="007E7F6C" w:rsidRPr="0065301F" w:rsidRDefault="007E7F6C" w:rsidP="0065301F">
            <w:pPr>
              <w:spacing w:after="0" w:line="240" w:lineRule="auto"/>
              <w:rPr>
                <w:rFonts w:asciiTheme="minorHAnsi" w:eastAsiaTheme="minorEastAsia" w:hAnsiTheme="minorHAnsi" w:cs="Garamond"/>
                <w:color w:val="000000"/>
                <w:sz w:val="20"/>
                <w:szCs w:val="20"/>
              </w:rPr>
            </w:pPr>
            <w:r>
              <w:rPr>
                <w:rFonts w:asciiTheme="minorHAnsi" w:eastAsiaTheme="minorEastAsia" w:hAnsiTheme="minorHAnsi" w:cs="Garamond"/>
                <w:color w:val="000000"/>
                <w:sz w:val="20"/>
                <w:szCs w:val="20"/>
              </w:rPr>
              <w:t>Practice-specific fidelity checklists</w:t>
            </w:r>
          </w:p>
        </w:tc>
      </w:tr>
      <w:tr w:rsidR="0065301F" w:rsidRPr="0065301F" w:rsidTr="007E7F6C">
        <w:trPr>
          <w:trHeight w:val="611"/>
        </w:trPr>
        <w:tc>
          <w:tcPr>
            <w:tcW w:w="0" w:type="auto"/>
            <w:vAlign w:val="center"/>
          </w:tcPr>
          <w:p w:rsidR="001C792A" w:rsidRPr="0065301F" w:rsidRDefault="001C792A" w:rsidP="0065301F">
            <w:pPr>
              <w:spacing w:after="0" w:line="240" w:lineRule="auto"/>
              <w:jc w:val="center"/>
              <w:rPr>
                <w:rFonts w:asciiTheme="minorHAnsi" w:eastAsiaTheme="minorEastAsia" w:hAnsiTheme="minorHAnsi" w:cs="Arial"/>
                <w:sz w:val="20"/>
                <w:szCs w:val="20"/>
              </w:rPr>
            </w:pPr>
            <w:r w:rsidRPr="0065301F">
              <w:rPr>
                <w:rFonts w:asciiTheme="minorHAnsi" w:eastAsiaTheme="minorEastAsia" w:hAnsiTheme="minorHAnsi" w:cs="Arial"/>
                <w:sz w:val="20"/>
                <w:szCs w:val="20"/>
              </w:rPr>
              <w:t>3</w:t>
            </w:r>
          </w:p>
        </w:tc>
        <w:tc>
          <w:tcPr>
            <w:tcW w:w="1853" w:type="dxa"/>
            <w:vAlign w:val="center"/>
          </w:tcPr>
          <w:p w:rsidR="001C792A" w:rsidRPr="0065301F" w:rsidRDefault="001C792A" w:rsidP="0065301F">
            <w:pPr>
              <w:spacing w:after="0" w:line="240" w:lineRule="auto"/>
              <w:rPr>
                <w:rFonts w:asciiTheme="minorHAnsi" w:eastAsiaTheme="minorEastAsia" w:hAnsiTheme="minorHAnsi" w:cstheme="minorBidi"/>
                <w:sz w:val="20"/>
                <w:szCs w:val="20"/>
              </w:rPr>
            </w:pPr>
            <w:r w:rsidRPr="0065301F">
              <w:rPr>
                <w:rFonts w:asciiTheme="minorHAnsi" w:eastAsiaTheme="minorEastAsia" w:hAnsiTheme="minorHAnsi" w:cstheme="minorBidi"/>
                <w:sz w:val="20"/>
                <w:szCs w:val="20"/>
              </w:rPr>
              <w:t>Educators use data to assess progress implementing effective instructional practice.</w:t>
            </w:r>
          </w:p>
        </w:tc>
        <w:tc>
          <w:tcPr>
            <w:tcW w:w="2520" w:type="dxa"/>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Select research-based formative assessment methods that include clearly defined outcomes, a problem-solving model , structured assessment criteria, and selected &amp; constructed responses</w:t>
            </w:r>
          </w:p>
        </w:tc>
        <w:tc>
          <w:tcPr>
            <w:tcW w:w="2250" w:type="dxa"/>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Select research-based formative assessment methods that include outcomes, a problem-solving model , structured assessment criteria, and  selected &amp; constructed responses</w:t>
            </w:r>
          </w:p>
        </w:tc>
        <w:tc>
          <w:tcPr>
            <w:tcW w:w="2520" w:type="dxa"/>
            <w:shd w:val="clear" w:color="auto" w:fill="auto"/>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Select research-based formative assessment methods that include outcomes, a problem-solving model , assessment criteria, and selected &amp; constructed response</w:t>
            </w:r>
          </w:p>
        </w:tc>
        <w:tc>
          <w:tcPr>
            <w:tcW w:w="2266" w:type="dxa"/>
            <w:shd w:val="clear" w:color="auto" w:fill="auto"/>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Select research-based formative assessment methods that include outcomes, a problem-solving model , assessment criteria, and a selected responses</w:t>
            </w:r>
          </w:p>
        </w:tc>
        <w:tc>
          <w:tcPr>
            <w:tcW w:w="0" w:type="auto"/>
            <w:shd w:val="clear" w:color="auto" w:fill="D9D9D9" w:themeFill="background1" w:themeFillShade="D9"/>
          </w:tcPr>
          <w:p w:rsidR="001C792A" w:rsidRDefault="007E7F6C" w:rsidP="0065301F">
            <w:pPr>
              <w:spacing w:after="0" w:line="240" w:lineRule="auto"/>
              <w:rPr>
                <w:rFonts w:asciiTheme="minorHAnsi" w:eastAsiaTheme="minorEastAsia" w:hAnsiTheme="minorHAnsi" w:cs="Garamond"/>
                <w:color w:val="000000"/>
                <w:sz w:val="20"/>
                <w:szCs w:val="20"/>
              </w:rPr>
            </w:pPr>
            <w:r>
              <w:rPr>
                <w:rFonts w:asciiTheme="minorHAnsi" w:eastAsiaTheme="minorEastAsia" w:hAnsiTheme="minorHAnsi" w:cs="Garamond"/>
                <w:color w:val="000000"/>
                <w:sz w:val="20"/>
                <w:szCs w:val="20"/>
              </w:rPr>
              <w:t>Practice-specific fidelity checklists</w:t>
            </w:r>
          </w:p>
          <w:p w:rsidR="007E7F6C" w:rsidRDefault="007E7F6C" w:rsidP="0065301F">
            <w:pPr>
              <w:spacing w:after="0" w:line="240" w:lineRule="auto"/>
              <w:rPr>
                <w:rFonts w:asciiTheme="minorHAnsi" w:eastAsiaTheme="minorEastAsia" w:hAnsiTheme="minorHAnsi" w:cs="Garamond"/>
                <w:color w:val="000000"/>
                <w:sz w:val="20"/>
                <w:szCs w:val="20"/>
              </w:rPr>
            </w:pPr>
          </w:p>
          <w:p w:rsidR="007E7F6C" w:rsidRPr="0065301F" w:rsidRDefault="007E7F6C" w:rsidP="0065301F">
            <w:pPr>
              <w:spacing w:after="0" w:line="240" w:lineRule="auto"/>
              <w:rPr>
                <w:rFonts w:asciiTheme="minorHAnsi" w:eastAsiaTheme="minorEastAsia" w:hAnsiTheme="minorHAnsi" w:cs="Garamond"/>
                <w:color w:val="000000"/>
                <w:sz w:val="20"/>
                <w:szCs w:val="20"/>
              </w:rPr>
            </w:pPr>
            <w:r>
              <w:rPr>
                <w:rFonts w:asciiTheme="minorHAnsi" w:eastAsiaTheme="minorEastAsia" w:hAnsiTheme="minorHAnsi" w:cs="Garamond"/>
                <w:color w:val="000000"/>
                <w:sz w:val="20"/>
                <w:szCs w:val="20"/>
              </w:rPr>
              <w:t>Student data</w:t>
            </w:r>
          </w:p>
        </w:tc>
      </w:tr>
      <w:tr w:rsidR="0065301F" w:rsidRPr="0065301F" w:rsidTr="007E7F6C">
        <w:trPr>
          <w:trHeight w:val="611"/>
        </w:trPr>
        <w:tc>
          <w:tcPr>
            <w:tcW w:w="0" w:type="auto"/>
            <w:vAlign w:val="center"/>
          </w:tcPr>
          <w:p w:rsidR="001C792A" w:rsidRPr="0065301F" w:rsidRDefault="001C792A" w:rsidP="0065301F">
            <w:pPr>
              <w:spacing w:after="0" w:line="240" w:lineRule="auto"/>
              <w:jc w:val="center"/>
              <w:rPr>
                <w:rFonts w:asciiTheme="minorHAnsi" w:eastAsiaTheme="minorEastAsia" w:hAnsiTheme="minorHAnsi" w:cs="Arial"/>
                <w:sz w:val="20"/>
                <w:szCs w:val="20"/>
              </w:rPr>
            </w:pPr>
            <w:r w:rsidRPr="0065301F">
              <w:rPr>
                <w:rFonts w:asciiTheme="minorHAnsi" w:eastAsiaTheme="minorEastAsia" w:hAnsiTheme="minorHAnsi" w:cs="Arial"/>
                <w:sz w:val="20"/>
                <w:szCs w:val="20"/>
              </w:rPr>
              <w:lastRenderedPageBreak/>
              <w:t>4</w:t>
            </w:r>
          </w:p>
        </w:tc>
        <w:tc>
          <w:tcPr>
            <w:tcW w:w="1853" w:type="dxa"/>
            <w:vAlign w:val="center"/>
          </w:tcPr>
          <w:p w:rsidR="001C792A" w:rsidRPr="0065301F" w:rsidRDefault="001C792A" w:rsidP="0065301F">
            <w:pPr>
              <w:spacing w:after="0" w:line="240" w:lineRule="auto"/>
              <w:rPr>
                <w:rFonts w:asciiTheme="minorHAnsi" w:eastAsiaTheme="minorEastAsia" w:hAnsiTheme="minorHAnsi" w:cstheme="minorBidi"/>
                <w:sz w:val="20"/>
                <w:szCs w:val="20"/>
              </w:rPr>
            </w:pPr>
            <w:r w:rsidRPr="0065301F">
              <w:rPr>
                <w:rFonts w:asciiTheme="minorHAnsi" w:eastAsiaTheme="minorEastAsia" w:hAnsiTheme="minorHAnsi" w:cstheme="minorBidi"/>
                <w:sz w:val="20"/>
                <w:szCs w:val="20"/>
              </w:rPr>
              <w:t xml:space="preserve">Educators collaborate with stakeholders. </w:t>
            </w:r>
          </w:p>
        </w:tc>
        <w:tc>
          <w:tcPr>
            <w:tcW w:w="2520" w:type="dxa"/>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Establish systems to support  frequent &amp; regularly scheduled team-based collaboration throughout the implementation and ongoing use of effective instructional practices; along with active administrative participation</w:t>
            </w:r>
          </w:p>
        </w:tc>
        <w:tc>
          <w:tcPr>
            <w:tcW w:w="2250" w:type="dxa"/>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Establish systems to support frequent &amp;  regularly scheduled team-based collaboration throughout the implementation and ongoing use of effective instructional practices; along with active administrative support</w:t>
            </w:r>
          </w:p>
        </w:tc>
        <w:tc>
          <w:tcPr>
            <w:tcW w:w="2520" w:type="dxa"/>
            <w:shd w:val="clear" w:color="auto" w:fill="auto"/>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Establish systems to support  regularly scheduled collaboration throughout the implementation and ongoing use of effective instructional practices; along with active administrative support</w:t>
            </w:r>
          </w:p>
        </w:tc>
        <w:tc>
          <w:tcPr>
            <w:tcW w:w="2266" w:type="dxa"/>
            <w:shd w:val="clear" w:color="auto" w:fill="auto"/>
          </w:tcPr>
          <w:p w:rsidR="001C792A" w:rsidRPr="0065301F" w:rsidRDefault="001C792A" w:rsidP="0065301F">
            <w:pPr>
              <w:spacing w:after="0" w:line="240" w:lineRule="auto"/>
              <w:rPr>
                <w:rFonts w:asciiTheme="minorHAnsi" w:eastAsiaTheme="minorEastAsia" w:hAnsiTheme="minorHAnsi" w:cs="Garamond"/>
                <w:color w:val="000000"/>
                <w:sz w:val="20"/>
                <w:szCs w:val="20"/>
              </w:rPr>
            </w:pPr>
            <w:r w:rsidRPr="0065301F">
              <w:rPr>
                <w:rFonts w:asciiTheme="minorHAnsi" w:eastAsiaTheme="minorEastAsia" w:hAnsiTheme="minorHAnsi" w:cs="Garamond"/>
                <w:color w:val="000000"/>
                <w:sz w:val="20"/>
                <w:szCs w:val="20"/>
              </w:rPr>
              <w:t>Establish systems to support  regularly scheduled collaboration throughout the implementation of effective instructional practices; along with  administrative support</w:t>
            </w:r>
          </w:p>
        </w:tc>
        <w:tc>
          <w:tcPr>
            <w:tcW w:w="0" w:type="auto"/>
            <w:shd w:val="clear" w:color="auto" w:fill="D9D9D9" w:themeFill="background1" w:themeFillShade="D9"/>
          </w:tcPr>
          <w:p w:rsidR="001C792A" w:rsidRPr="0065301F" w:rsidRDefault="007E7F6C" w:rsidP="0065301F">
            <w:pPr>
              <w:spacing w:after="0" w:line="240" w:lineRule="auto"/>
              <w:rPr>
                <w:rFonts w:asciiTheme="minorHAnsi" w:eastAsiaTheme="minorEastAsia" w:hAnsiTheme="minorHAnsi" w:cs="Garamond"/>
                <w:color w:val="000000"/>
                <w:sz w:val="20"/>
                <w:szCs w:val="20"/>
              </w:rPr>
            </w:pPr>
            <w:r>
              <w:rPr>
                <w:rFonts w:asciiTheme="minorHAnsi" w:eastAsiaTheme="minorEastAsia" w:hAnsiTheme="minorHAnsi" w:cs="Garamond"/>
                <w:color w:val="000000"/>
                <w:sz w:val="20"/>
                <w:szCs w:val="20"/>
              </w:rPr>
              <w:t>See evidence supporting collaborative data teams.</w:t>
            </w:r>
          </w:p>
        </w:tc>
      </w:tr>
    </w:tbl>
    <w:p w:rsidR="001C792A" w:rsidRDefault="001C792A"/>
    <w:sectPr w:rsidR="001C792A" w:rsidSect="00EB3F97">
      <w:footerReference w:type="firs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97" w:rsidRDefault="00EB3F97" w:rsidP="00EB3F97">
      <w:pPr>
        <w:spacing w:after="0" w:line="240" w:lineRule="auto"/>
      </w:pPr>
      <w:r>
        <w:separator/>
      </w:r>
    </w:p>
  </w:endnote>
  <w:endnote w:type="continuationSeparator" w:id="0">
    <w:p w:rsidR="00EB3F97" w:rsidRDefault="00EB3F97" w:rsidP="00EB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Cs/>
        <w:iCs/>
      </w:rPr>
      <w:alias w:val="Creative Commons License"/>
      <w:tag w:val="Creative Commons License"/>
      <w:id w:val="2042469046"/>
      <w:lock w:val="sdtContentLocked"/>
      <w:placeholder>
        <w:docPart w:val="46DB61F145024AC59BD9489D6FEB6502"/>
      </w:placeholder>
    </w:sdtPr>
    <w:sdtContent>
      <w:p w:rsidR="00EB3F97" w:rsidRPr="00EB3F97" w:rsidRDefault="00EB3F97" w:rsidP="00EB3F97">
        <w:pPr>
          <w:spacing w:line="240" w:lineRule="auto"/>
          <w:rPr>
            <w:bCs/>
            <w:iCs/>
          </w:rP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21590</wp:posOffset>
              </wp:positionV>
              <wp:extent cx="838200" cy="2952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NoDerivatives</w:t>
          </w:r>
          <w:proofErr w:type="spellEnd"/>
          <w:r>
            <w:rPr>
              <w:rStyle w:val="Hyperlink"/>
            </w:rPr>
            <w:t xml:space="preserve"> 4.0 International License</w:t>
          </w:r>
        </w:hyperlink>
        <w:r>
          <w:rPr>
            <w:bCs/>
            <w:iCs/>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97" w:rsidRDefault="00EB3F97" w:rsidP="00EB3F97">
      <w:pPr>
        <w:spacing w:after="0" w:line="240" w:lineRule="auto"/>
      </w:pPr>
      <w:r>
        <w:separator/>
      </w:r>
    </w:p>
  </w:footnote>
  <w:footnote w:type="continuationSeparator" w:id="0">
    <w:p w:rsidR="00EB3F97" w:rsidRDefault="00EB3F97" w:rsidP="00EB3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20072"/>
    <w:multiLevelType w:val="hybridMultilevel"/>
    <w:tmpl w:val="B46E61E0"/>
    <w:lvl w:ilvl="0" w:tplc="55785E0E">
      <w:start w:val="1"/>
      <w:numFmt w:val="upp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2A"/>
    <w:rsid w:val="001C792A"/>
    <w:rsid w:val="004E0E0D"/>
    <w:rsid w:val="0065301F"/>
    <w:rsid w:val="006B2BE5"/>
    <w:rsid w:val="007E7F6C"/>
    <w:rsid w:val="00BA5703"/>
    <w:rsid w:val="00EB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BD57814-9129-4499-A199-30AEB524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2A"/>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1C792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92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C792A"/>
    <w:pPr>
      <w:ind w:left="720"/>
      <w:contextualSpacing/>
    </w:pPr>
  </w:style>
  <w:style w:type="character" w:customStyle="1" w:styleId="Heading1Char">
    <w:name w:val="Heading 1 Char"/>
    <w:basedOn w:val="DefaultParagraphFont"/>
    <w:link w:val="Heading1"/>
    <w:uiPriority w:val="9"/>
    <w:rsid w:val="001C792A"/>
    <w:rPr>
      <w:rFonts w:ascii="Cambria" w:eastAsia="Times New Roman" w:hAnsi="Cambria" w:cs="Times New Roman"/>
      <w:b/>
      <w:bCs/>
      <w:color w:val="365F91"/>
      <w:sz w:val="28"/>
      <w:szCs w:val="28"/>
    </w:rPr>
  </w:style>
  <w:style w:type="character" w:styleId="Emphasis">
    <w:name w:val="Emphasis"/>
    <w:uiPriority w:val="20"/>
    <w:qFormat/>
    <w:rsid w:val="001C792A"/>
    <w:rPr>
      <w:b/>
      <w:bCs/>
      <w:i/>
      <w:iCs/>
      <w:spacing w:val="10"/>
      <w:bdr w:val="none" w:sz="0" w:space="0" w:color="auto"/>
      <w:shd w:val="clear" w:color="auto" w:fill="auto"/>
    </w:rPr>
  </w:style>
  <w:style w:type="character" w:styleId="PlaceholderText">
    <w:name w:val="Placeholder Text"/>
    <w:basedOn w:val="DefaultParagraphFont"/>
    <w:uiPriority w:val="99"/>
    <w:semiHidden/>
    <w:rsid w:val="00EB3F97"/>
    <w:rPr>
      <w:color w:val="808080"/>
    </w:rPr>
  </w:style>
  <w:style w:type="character" w:styleId="Hyperlink">
    <w:name w:val="Hyperlink"/>
    <w:basedOn w:val="DefaultParagraphFont"/>
    <w:uiPriority w:val="99"/>
    <w:unhideWhenUsed/>
    <w:rsid w:val="00EB3F97"/>
    <w:rPr>
      <w:color w:val="0000FF" w:themeColor="hyperlink"/>
      <w:u w:val="single"/>
    </w:rPr>
  </w:style>
  <w:style w:type="paragraph" w:styleId="Header">
    <w:name w:val="header"/>
    <w:basedOn w:val="Normal"/>
    <w:link w:val="HeaderChar"/>
    <w:uiPriority w:val="99"/>
    <w:unhideWhenUsed/>
    <w:rsid w:val="00EB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97"/>
    <w:rPr>
      <w:rFonts w:eastAsia="Times New Roman"/>
      <w:sz w:val="22"/>
      <w:szCs w:val="22"/>
    </w:rPr>
  </w:style>
  <w:style w:type="paragraph" w:styleId="Footer">
    <w:name w:val="footer"/>
    <w:basedOn w:val="Normal"/>
    <w:link w:val="FooterChar"/>
    <w:uiPriority w:val="99"/>
    <w:unhideWhenUsed/>
    <w:rsid w:val="00EB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9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DB61F145024AC59BD9489D6FEB6502"/>
        <w:category>
          <w:name w:val="General"/>
          <w:gallery w:val="placeholder"/>
        </w:category>
        <w:types>
          <w:type w:val="bbPlcHdr"/>
        </w:types>
        <w:behaviors>
          <w:behavior w:val="content"/>
        </w:behaviors>
        <w:guid w:val="{55967671-44FE-40CA-AFF3-320F8B33BE30}"/>
      </w:docPartPr>
      <w:docPartBody>
        <w:p w:rsidR="00000000" w:rsidRDefault="00A823F4" w:rsidP="00A823F4">
          <w:pPr>
            <w:pStyle w:val="46DB61F145024AC59BD9489D6FEB6502"/>
          </w:pPr>
          <w:r w:rsidRPr="00757C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F4"/>
    <w:rsid w:val="00A8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F4"/>
    <w:rPr>
      <w:color w:val="808080"/>
    </w:rPr>
  </w:style>
  <w:style w:type="paragraph" w:customStyle="1" w:styleId="46DB61F145024AC59BD9489D6FEB6502">
    <w:name w:val="46DB61F145024AC59BD9489D6FEB6502"/>
    <w:rsid w:val="00A82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dc:creator>
  <cp:lastModifiedBy>Day, Arden D.</cp:lastModifiedBy>
  <cp:revision>2</cp:revision>
  <dcterms:created xsi:type="dcterms:W3CDTF">2015-07-16T17:17:00Z</dcterms:created>
  <dcterms:modified xsi:type="dcterms:W3CDTF">2015-07-16T17:17:00Z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